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B74E7" w:rsidRDefault="00707482" w:rsidP="004B74E7">
      <w:pPr>
        <w:pStyle w:val="Odstavecseseznamem"/>
        <w:ind w:left="814"/>
      </w:pPr>
      <w:r>
        <w:t xml:space="preserve"> </w:t>
      </w:r>
      <w:r w:rsidR="00582297" w:rsidRPr="000F37F7">
        <w:t>-</w:t>
      </w:r>
      <w:r w:rsidR="00A2569E" w:rsidRPr="000F37F7">
        <w:t xml:space="preserve"> </w:t>
      </w:r>
      <w:r w:rsidR="009A24CF">
        <w:rPr>
          <w:b/>
        </w:rPr>
        <w:t xml:space="preserve">Startovací vozík </w:t>
      </w:r>
      <w:proofErr w:type="spellStart"/>
      <w:r w:rsidR="009A24CF">
        <w:rPr>
          <w:b/>
        </w:rPr>
        <w:t>Rukov</w:t>
      </w:r>
      <w:proofErr w:type="spellEnd"/>
      <w:r w:rsidR="009A24CF">
        <w:rPr>
          <w:b/>
        </w:rPr>
        <w:t xml:space="preserve"> JE10/50, výrobce </w:t>
      </w:r>
      <w:proofErr w:type="spellStart"/>
      <w:r w:rsidR="009A24CF">
        <w:rPr>
          <w:b/>
        </w:rPr>
        <w:t>Rukov</w:t>
      </w:r>
      <w:proofErr w:type="spellEnd"/>
      <w:r w:rsidR="009A24CF">
        <w:rPr>
          <w:b/>
        </w:rPr>
        <w:t xml:space="preserve"> Rumburk</w:t>
      </w:r>
      <w:r w:rsidR="004B74E7">
        <w:rPr>
          <w:b/>
        </w:rPr>
        <w:t xml:space="preserve"> (</w:t>
      </w:r>
      <w:r w:rsidR="009A24CF">
        <w:rPr>
          <w:b/>
        </w:rPr>
        <w:t>ČR</w:t>
      </w:r>
      <w:r w:rsidR="004B74E7">
        <w:rPr>
          <w:b/>
        </w:rPr>
        <w:t>), rok výroby 19</w:t>
      </w:r>
      <w:r w:rsidR="009A24CF">
        <w:rPr>
          <w:b/>
        </w:rPr>
        <w:t>8</w:t>
      </w:r>
      <w:r w:rsidR="004B74E7">
        <w:rPr>
          <w:b/>
        </w:rPr>
        <w:t>7</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9B" w:rsidRDefault="00C47A9B">
      <w:r>
        <w:separator/>
      </w:r>
    </w:p>
  </w:endnote>
  <w:endnote w:type="continuationSeparator" w:id="0">
    <w:p w:rsidR="00C47A9B" w:rsidRDefault="00C47A9B">
      <w:r>
        <w:continuationSeparator/>
      </w:r>
    </w:p>
  </w:endnote>
  <w:endnote w:type="continuationNotice" w:id="1">
    <w:p w:rsidR="00C47A9B" w:rsidRDefault="00C47A9B"/>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FC2996">
        <w:pPr>
          <w:pStyle w:val="Zpat"/>
          <w:jc w:val="center"/>
        </w:pPr>
        <w:fldSimple w:instr=" PAGE   \* MERGEFORMAT ">
          <w:r w:rsidR="009A24CF">
            <w:rPr>
              <w:noProof/>
            </w:rPr>
            <w:t>1</w:t>
          </w:r>
        </w:fldSimple>
      </w:p>
    </w:sdtContent>
  </w:sdt>
  <w:p w:rsidR="003F74F1" w:rsidRPr="003F74F1" w:rsidRDefault="00C47A9B"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9B" w:rsidRDefault="00C47A9B">
      <w:r>
        <w:separator/>
      </w:r>
    </w:p>
  </w:footnote>
  <w:footnote w:type="continuationSeparator" w:id="0">
    <w:p w:rsidR="00C47A9B" w:rsidRDefault="00C47A9B">
      <w:r>
        <w:continuationSeparator/>
      </w:r>
    </w:p>
  </w:footnote>
  <w:footnote w:type="continuationNotice" w:id="1">
    <w:p w:rsidR="00C47A9B" w:rsidRDefault="00C47A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w:t>
    </w:r>
    <w:r w:rsidR="009A24CF">
      <w:t>8</w:t>
    </w:r>
    <w:r>
      <w:t>-VŘ</w:t>
    </w:r>
  </w:p>
  <w:p w:rsidR="003F74F1" w:rsidRPr="003F74F1" w:rsidRDefault="00C47A9B">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C47A9B"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B74E7"/>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61F82"/>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0190"/>
    <w:rsid w:val="00983861"/>
    <w:rsid w:val="00983E7D"/>
    <w:rsid w:val="00993E49"/>
    <w:rsid w:val="009A140D"/>
    <w:rsid w:val="009A24CF"/>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A9B"/>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C2996"/>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5775025">
      <w:bodyDiv w:val="1"/>
      <w:marLeft w:val="0"/>
      <w:marRight w:val="0"/>
      <w:marTop w:val="0"/>
      <w:marBottom w:val="0"/>
      <w:divBdr>
        <w:top w:val="none" w:sz="0" w:space="0" w:color="auto"/>
        <w:left w:val="none" w:sz="0" w:space="0" w:color="auto"/>
        <w:bottom w:val="none" w:sz="0" w:space="0" w:color="auto"/>
        <w:right w:val="none" w:sz="0" w:space="0" w:color="auto"/>
      </w:divBdr>
    </w:div>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9C40-7A49-4FDB-A76B-DD023A69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1406</Words>
  <Characters>8298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20</cp:revision>
  <cp:lastPrinted>2021-01-26T08:39:00Z</cp:lastPrinted>
  <dcterms:created xsi:type="dcterms:W3CDTF">2021-05-16T12:47:00Z</dcterms:created>
  <dcterms:modified xsi:type="dcterms:W3CDTF">2022-04-25T19:45:00Z</dcterms:modified>
</cp:coreProperties>
</file>